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DA6DBC">
        <w:rPr>
          <w:rFonts w:ascii="Bookman Old Style" w:hAnsi="Bookman Old Style" w:cs="Times New Roman"/>
          <w:b/>
          <w:i/>
        </w:rPr>
        <w:t>1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637B67">
        <w:rPr>
          <w:rFonts w:ascii="Bookman Old Style" w:hAnsi="Bookman Old Style" w:cs="Times New Roman"/>
          <w:b/>
          <w:i/>
        </w:rPr>
        <w:t>3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7A05D7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637B6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A05D7" w:rsidRPr="007A05D7">
        <w:rPr>
          <w:rFonts w:ascii="Bookman Old Style" w:hAnsi="Bookman Old Style"/>
          <w:b/>
          <w:i/>
          <w:color w:val="000000"/>
        </w:rPr>
        <w:t>İlimiz Çaycuma ilçesi Güdüllü Köyüne Aşağı Membanın ve Baldere Membanın tahsisinde sakınca olmadığı belirtilmiş olup; Memba Tahsis Komisyonu tarafından hazırlanan “İçme Suyu Memba Tahsis ve Tevzii Komisyon Raporlarının”uygunluğuna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1E96" w:rsidRPr="001D5107" w:rsidRDefault="00637B67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Pr="001D5107" w:rsidRDefault="007A05D7" w:rsidP="007A05D7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Bayındırlık, 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30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35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6DBC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28F" w:rsidRDefault="00AF628F" w:rsidP="005C41D9">
      <w:pPr>
        <w:spacing w:after="0" w:line="240" w:lineRule="auto"/>
      </w:pPr>
      <w:r>
        <w:separator/>
      </w:r>
    </w:p>
  </w:endnote>
  <w:endnote w:type="continuationSeparator" w:id="1">
    <w:p w:rsidR="00AF628F" w:rsidRDefault="00AF628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28F" w:rsidRDefault="00AF628F" w:rsidP="005C41D9">
      <w:pPr>
        <w:spacing w:after="0" w:line="240" w:lineRule="auto"/>
      </w:pPr>
      <w:r>
        <w:separator/>
      </w:r>
    </w:p>
  </w:footnote>
  <w:footnote w:type="continuationSeparator" w:id="1">
    <w:p w:rsidR="00AF628F" w:rsidRDefault="00AF628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5511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7E298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812AA"/>
    <w:rsid w:val="00A97FA6"/>
    <w:rsid w:val="00AA7B68"/>
    <w:rsid w:val="00AD3D9F"/>
    <w:rsid w:val="00AF456C"/>
    <w:rsid w:val="00AF628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E230B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2024-12-05T08:28:00Z</dcterms:created>
  <dcterms:modified xsi:type="dcterms:W3CDTF">2024-12-05T08:28:00Z</dcterms:modified>
</cp:coreProperties>
</file>